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F8F869">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sz w:val="32"/>
          <w:szCs w:val="32"/>
          <w:lang w:val="en-US" w:eastAsia="zh-CN"/>
        </w:rPr>
      </w:pPr>
      <w:bookmarkStart w:id="1" w:name="_GoBack"/>
      <w:r>
        <w:rPr>
          <w:rFonts w:hint="eastAsia" w:ascii="黑体" w:hAnsi="黑体" w:eastAsia="黑体" w:cs="黑体"/>
          <w:b w:val="0"/>
          <w:bCs/>
          <w:sz w:val="32"/>
          <w:szCs w:val="32"/>
          <w:lang w:val="en-US" w:eastAsia="zh-CN"/>
        </w:rPr>
        <w:t>附件</w:t>
      </w:r>
    </w:p>
    <w:p w14:paraId="4E4B38F0">
      <w:pPr>
        <w:pStyle w:val="2"/>
        <w:rPr>
          <w:rFonts w:hint="eastAsia"/>
          <w:lang w:val="en-US" w:eastAsia="zh-CN"/>
        </w:rPr>
      </w:pPr>
    </w:p>
    <w:p w14:paraId="2FE7CD2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b w:val="0"/>
          <w:bCs/>
          <w:sz w:val="44"/>
          <w:szCs w:val="44"/>
          <w:lang w:val="en-US" w:eastAsia="zh-CN"/>
        </w:rPr>
      </w:pPr>
      <w:r>
        <w:rPr>
          <w:rFonts w:hint="default" w:ascii="Times New Roman" w:hAnsi="Times New Roman" w:eastAsia="方正小标宋简体" w:cs="Times New Roman"/>
          <w:b w:val="0"/>
          <w:bCs/>
          <w:sz w:val="44"/>
          <w:szCs w:val="44"/>
          <w:lang w:val="en-US" w:eastAsia="zh-CN"/>
        </w:rPr>
        <w:t>辽宁省民政厅商用密码安全性评估</w:t>
      </w:r>
    </w:p>
    <w:p w14:paraId="3FF97B35">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b w:val="0"/>
          <w:bCs/>
          <w:sz w:val="44"/>
          <w:szCs w:val="44"/>
          <w:lang w:val="en-US" w:eastAsia="zh-CN"/>
        </w:rPr>
      </w:pPr>
      <w:r>
        <w:rPr>
          <w:rFonts w:hint="default" w:ascii="Times New Roman" w:hAnsi="Times New Roman" w:eastAsia="方正小标宋简体" w:cs="Times New Roman"/>
          <w:b w:val="0"/>
          <w:bCs/>
          <w:sz w:val="44"/>
          <w:szCs w:val="44"/>
          <w:lang w:val="en-US" w:eastAsia="zh-CN"/>
        </w:rPr>
        <w:t>项目招标需求书</w:t>
      </w:r>
    </w:p>
    <w:bookmarkEnd w:id="1"/>
    <w:p w14:paraId="5198E568">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u w:val="single"/>
        </w:rPr>
      </w:pPr>
    </w:p>
    <w:p w14:paraId="50094D98">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sz w:val="32"/>
          <w:szCs w:val="32"/>
          <w:u w:val="none"/>
          <w:lang w:val="en-US" w:eastAsia="zh-CN"/>
        </w:rPr>
      </w:pPr>
      <w:r>
        <w:rPr>
          <w:rFonts w:hint="default" w:ascii="Times New Roman" w:hAnsi="Times New Roman" w:eastAsia="黑体" w:cs="Times New Roman"/>
          <w:sz w:val="32"/>
          <w:szCs w:val="32"/>
          <w:u w:val="none"/>
          <w:lang w:eastAsia="zh-CN"/>
        </w:rPr>
        <w:t>项目名称：</w:t>
      </w:r>
      <w:r>
        <w:rPr>
          <w:rFonts w:hint="default" w:ascii="Times New Roman" w:hAnsi="Times New Roman" w:eastAsia="仿宋_GB2312" w:cs="Times New Roman"/>
          <w:sz w:val="32"/>
          <w:szCs w:val="32"/>
          <w:u w:val="none"/>
          <w:lang w:val="en-US" w:eastAsia="zh-CN"/>
        </w:rPr>
        <w:t>辽宁省民政厅商用密码安全性评估采购项目</w:t>
      </w:r>
    </w:p>
    <w:p w14:paraId="0E746BC8">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sz w:val="32"/>
          <w:szCs w:val="32"/>
          <w:u w:val="none"/>
        </w:rPr>
      </w:pPr>
      <w:r>
        <w:rPr>
          <w:rFonts w:hint="default" w:ascii="Times New Roman" w:hAnsi="Times New Roman" w:eastAsia="黑体" w:cs="Times New Roman"/>
          <w:sz w:val="32"/>
          <w:szCs w:val="32"/>
          <w:u w:val="none"/>
        </w:rPr>
        <w:t>一、服务期限：</w:t>
      </w:r>
      <w:r>
        <w:rPr>
          <w:rFonts w:hint="default" w:ascii="Times New Roman" w:hAnsi="Times New Roman" w:eastAsia="仿宋_GB2312" w:cs="Times New Roman"/>
          <w:sz w:val="32"/>
          <w:szCs w:val="32"/>
          <w:u w:val="none"/>
          <w:lang w:val="en-US" w:eastAsia="zh-CN"/>
        </w:rPr>
        <w:t>合同签订之日起至提交评估报告止</w:t>
      </w:r>
      <w:r>
        <w:rPr>
          <w:rFonts w:hint="default" w:ascii="Times New Roman" w:hAnsi="Times New Roman" w:eastAsia="仿宋_GB2312" w:cs="Times New Roman"/>
          <w:sz w:val="32"/>
          <w:szCs w:val="32"/>
          <w:u w:val="none"/>
        </w:rPr>
        <w:t>。</w:t>
      </w:r>
    </w:p>
    <w:p w14:paraId="7DB99759">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u w:val="none"/>
          <w:lang w:eastAsia="zh-CN"/>
        </w:rPr>
      </w:pPr>
      <w:r>
        <w:rPr>
          <w:rFonts w:hint="default" w:ascii="Times New Roman" w:hAnsi="Times New Roman" w:eastAsia="仿宋_GB2312" w:cs="Times New Roman"/>
          <w:sz w:val="32"/>
          <w:szCs w:val="32"/>
          <w:u w:val="none"/>
          <w:lang w:val="en-US" w:eastAsia="zh-CN"/>
        </w:rPr>
        <w:t xml:space="preserve">    </w:t>
      </w:r>
      <w:r>
        <w:rPr>
          <w:rFonts w:hint="default" w:ascii="Times New Roman" w:hAnsi="Times New Roman" w:eastAsia="黑体" w:cs="Times New Roman"/>
          <w:sz w:val="32"/>
          <w:szCs w:val="32"/>
          <w:u w:val="none"/>
          <w:lang w:val="en-US" w:eastAsia="zh-CN"/>
        </w:rPr>
        <w:t>二、服务地点：</w:t>
      </w:r>
      <w:r>
        <w:rPr>
          <w:rFonts w:hint="default" w:ascii="Times New Roman" w:hAnsi="Times New Roman" w:eastAsia="仿宋_GB2312" w:cs="Times New Roman"/>
          <w:sz w:val="32"/>
          <w:szCs w:val="32"/>
          <w:u w:val="none"/>
          <w:lang w:eastAsia="zh-CN"/>
        </w:rPr>
        <w:t>辽宁省民政厅（沈阳市沈河区青年大街</w:t>
      </w:r>
      <w:r>
        <w:rPr>
          <w:rFonts w:hint="default" w:ascii="Times New Roman" w:hAnsi="Times New Roman" w:eastAsia="仿宋_GB2312" w:cs="Times New Roman"/>
          <w:sz w:val="32"/>
          <w:szCs w:val="32"/>
          <w:u w:val="none"/>
          <w:lang w:val="en-US" w:eastAsia="zh-CN"/>
        </w:rPr>
        <w:t>260号</w:t>
      </w:r>
      <w:r>
        <w:rPr>
          <w:rFonts w:hint="default" w:ascii="Times New Roman" w:hAnsi="Times New Roman" w:eastAsia="仿宋_GB2312" w:cs="Times New Roman"/>
          <w:sz w:val="32"/>
          <w:szCs w:val="32"/>
          <w:u w:val="none"/>
          <w:lang w:eastAsia="zh-CN"/>
        </w:rPr>
        <w:t>）。</w:t>
      </w:r>
    </w:p>
    <w:p w14:paraId="78DE30A0">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u w:val="none"/>
          <w:lang w:eastAsia="zh-CN"/>
        </w:rPr>
      </w:pPr>
      <w:r>
        <w:rPr>
          <w:rFonts w:hint="default" w:ascii="Times New Roman" w:hAnsi="Times New Roman" w:eastAsia="仿宋_GB2312" w:cs="Times New Roman"/>
          <w:sz w:val="32"/>
          <w:szCs w:val="32"/>
          <w:u w:val="none"/>
          <w:lang w:val="en-US" w:eastAsia="zh-CN"/>
        </w:rPr>
        <w:t xml:space="preserve">    </w:t>
      </w:r>
      <w:r>
        <w:rPr>
          <w:rFonts w:hint="default" w:ascii="Times New Roman" w:hAnsi="Times New Roman" w:eastAsia="黑体" w:cs="Times New Roman"/>
          <w:kern w:val="2"/>
          <w:sz w:val="32"/>
          <w:szCs w:val="32"/>
          <w:u w:val="none"/>
          <w:lang w:val="en-US" w:eastAsia="zh-CN" w:bidi="ar-SA"/>
        </w:rPr>
        <w:t>三、服务商的资格要求：</w:t>
      </w:r>
    </w:p>
    <w:p w14:paraId="500E38B5">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u w:val="none"/>
          <w:lang w:val="en-US" w:eastAsia="zh-CN"/>
        </w:rPr>
      </w:pPr>
      <w:r>
        <w:rPr>
          <w:rFonts w:hint="default" w:ascii="Times New Roman" w:hAnsi="Times New Roman" w:eastAsia="仿宋_GB2312" w:cs="Times New Roman"/>
          <w:sz w:val="32"/>
          <w:szCs w:val="32"/>
          <w:u w:val="none"/>
          <w:lang w:val="en-US" w:eastAsia="zh-CN"/>
        </w:rPr>
        <w:t xml:space="preserve">    1.满足《中华人民共和国政府采购法》第二十二条规定；</w:t>
      </w:r>
    </w:p>
    <w:p w14:paraId="24C63D8E">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u w:val="none"/>
          <w:lang w:val="en-US" w:eastAsia="zh-CN"/>
        </w:rPr>
      </w:pPr>
      <w:r>
        <w:rPr>
          <w:rFonts w:hint="default" w:ascii="Times New Roman" w:hAnsi="Times New Roman" w:eastAsia="仿宋_GB2312" w:cs="Times New Roman"/>
          <w:sz w:val="32"/>
          <w:szCs w:val="32"/>
          <w:u w:val="none"/>
          <w:lang w:val="en-US" w:eastAsia="zh-CN"/>
        </w:rPr>
        <w:t xml:space="preserve">    2.投标人应为国家密码管理局公告（第42号）《商用密码应用安全性评估试点机构目录》单位。</w:t>
      </w:r>
    </w:p>
    <w:p w14:paraId="7CCFD422">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u w:val="none"/>
          <w:lang w:val="en-US" w:eastAsia="zh-CN"/>
        </w:rPr>
      </w:pPr>
      <w:r>
        <w:rPr>
          <w:rFonts w:hint="default" w:ascii="Times New Roman" w:hAnsi="Times New Roman" w:eastAsia="仿宋_GB2312" w:cs="Times New Roman"/>
          <w:sz w:val="32"/>
          <w:szCs w:val="32"/>
          <w:u w:val="none"/>
          <w:lang w:val="en-US" w:eastAsia="zh-CN"/>
        </w:rPr>
        <w:t xml:space="preserve">    </w:t>
      </w:r>
      <w:r>
        <w:rPr>
          <w:rFonts w:hint="default" w:ascii="Times New Roman" w:hAnsi="Times New Roman" w:eastAsia="黑体" w:cs="Times New Roman"/>
          <w:sz w:val="32"/>
          <w:szCs w:val="32"/>
          <w:u w:val="none"/>
          <w:lang w:val="en-US" w:eastAsia="zh-CN"/>
        </w:rPr>
        <w:t>四、预算金额：</w:t>
      </w:r>
      <w:r>
        <w:rPr>
          <w:rFonts w:hint="eastAsia" w:ascii="Times New Roman" w:hAnsi="Times New Roman" w:eastAsia="仿宋_GB2312" w:cs="Times New Roman"/>
          <w:sz w:val="32"/>
          <w:szCs w:val="32"/>
          <w:u w:val="none"/>
          <w:lang w:val="en-US" w:eastAsia="zh-CN"/>
        </w:rPr>
        <w:t>15</w:t>
      </w:r>
      <w:r>
        <w:rPr>
          <w:rFonts w:hint="default" w:ascii="Times New Roman" w:hAnsi="Times New Roman" w:eastAsia="仿宋_GB2312" w:cs="Times New Roman"/>
          <w:sz w:val="32"/>
          <w:szCs w:val="32"/>
          <w:u w:val="none"/>
          <w:lang w:val="en-US" w:eastAsia="zh-CN"/>
        </w:rPr>
        <w:t>万元。</w:t>
      </w:r>
    </w:p>
    <w:p w14:paraId="7864CFD3">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u w:val="none"/>
          <w:lang w:val="en-US" w:eastAsia="zh-CN"/>
        </w:rPr>
      </w:pPr>
      <w:r>
        <w:rPr>
          <w:rFonts w:hint="default" w:ascii="Times New Roman" w:hAnsi="Times New Roman" w:eastAsia="仿宋_GB2312" w:cs="Times New Roman"/>
          <w:sz w:val="32"/>
          <w:szCs w:val="32"/>
          <w:u w:val="none"/>
          <w:lang w:val="en-US" w:eastAsia="zh-CN"/>
        </w:rPr>
        <w:t xml:space="preserve">    </w:t>
      </w:r>
      <w:r>
        <w:rPr>
          <w:rFonts w:hint="default" w:ascii="Times New Roman" w:hAnsi="Times New Roman" w:eastAsia="黑体" w:cs="Times New Roman"/>
          <w:sz w:val="32"/>
          <w:szCs w:val="32"/>
          <w:u w:val="none"/>
          <w:lang w:val="en-US" w:eastAsia="zh-CN"/>
        </w:rPr>
        <w:t>五、中标方式：</w:t>
      </w:r>
      <w:r>
        <w:rPr>
          <w:rFonts w:hint="default" w:ascii="Times New Roman" w:hAnsi="Times New Roman" w:eastAsia="仿宋_GB2312" w:cs="Times New Roman"/>
          <w:sz w:val="32"/>
          <w:szCs w:val="32"/>
          <w:u w:val="none"/>
          <w:lang w:val="en-US" w:eastAsia="zh-CN"/>
        </w:rPr>
        <w:t>最低价中标。</w:t>
      </w:r>
    </w:p>
    <w:p w14:paraId="7F913F61">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u w:val="none"/>
        </w:rPr>
      </w:pPr>
      <w:r>
        <w:rPr>
          <w:rFonts w:hint="default" w:ascii="Times New Roman" w:hAnsi="Times New Roman" w:eastAsia="仿宋_GB2312" w:cs="Times New Roman"/>
          <w:sz w:val="32"/>
          <w:szCs w:val="32"/>
          <w:u w:val="none"/>
          <w:lang w:val="en-US" w:eastAsia="zh-CN"/>
        </w:rPr>
        <w:t xml:space="preserve">    </w:t>
      </w:r>
      <w:r>
        <w:rPr>
          <w:rFonts w:hint="default" w:ascii="Times New Roman" w:hAnsi="Times New Roman" w:eastAsia="黑体" w:cs="Times New Roman"/>
          <w:sz w:val="32"/>
          <w:szCs w:val="32"/>
          <w:u w:val="none"/>
          <w:lang w:val="en-US" w:eastAsia="zh-CN"/>
        </w:rPr>
        <w:t>六、服务内容：</w:t>
      </w:r>
    </w:p>
    <w:p w14:paraId="176F6AB5">
      <w:pPr>
        <w:pStyle w:val="38"/>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对辽宁省省级</w:t>
      </w:r>
      <w:r>
        <w:rPr>
          <w:rFonts w:hint="default" w:ascii="Times New Roman" w:hAnsi="Times New Roman" w:eastAsia="仿宋_GB2312" w:cs="Times New Roman"/>
          <w:b/>
          <w:bCs/>
          <w:sz w:val="32"/>
          <w:szCs w:val="32"/>
          <w:lang w:val="en-US" w:eastAsia="zh-CN"/>
        </w:rPr>
        <w:t>民政服务管理平台</w:t>
      </w:r>
      <w:r>
        <w:rPr>
          <w:rFonts w:hint="eastAsia" w:ascii="Times New Roman" w:hAnsi="Times New Roman" w:eastAsia="仿宋_GB2312" w:cs="Times New Roman"/>
          <w:b/>
          <w:bCs/>
          <w:sz w:val="32"/>
          <w:szCs w:val="32"/>
          <w:lang w:val="en-US" w:eastAsia="zh-CN"/>
        </w:rPr>
        <w:t>、辽宁省婚姻登记信息系统和辽宁省社会组织管理服务平台3个信息系统进行</w:t>
      </w:r>
      <w:r>
        <w:rPr>
          <w:rFonts w:hint="default" w:ascii="Times New Roman" w:hAnsi="Times New Roman" w:eastAsia="仿宋_GB2312" w:cs="Times New Roman"/>
          <w:b/>
          <w:bCs/>
          <w:sz w:val="32"/>
          <w:szCs w:val="32"/>
          <w:lang w:val="en-US" w:eastAsia="zh-CN"/>
        </w:rPr>
        <w:t>商用密码安全性评估</w:t>
      </w:r>
      <w:r>
        <w:rPr>
          <w:rFonts w:hint="eastAsia" w:ascii="Times New Roman" w:hAnsi="Times New Roman" w:eastAsia="仿宋_GB2312" w:cs="Times New Roman"/>
          <w:b/>
          <w:bCs/>
          <w:sz w:val="32"/>
          <w:szCs w:val="32"/>
          <w:lang w:val="en-US" w:eastAsia="zh-CN"/>
        </w:rPr>
        <w:t>。</w:t>
      </w:r>
    </w:p>
    <w:p w14:paraId="5729D0C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按照《信息安全技术信息系统密码应用基本要求》（GB/T39786-2021）《信息系统密码测评要求》《信息系统密码应用测评过程指南》《信息系统密码应用高风险判定指引》《商用密码应用安全性评估量化评估规则》等国家和行业商用密码相关规范标准，依据系统自身的安全需求分析，对辽宁省民政厅的</w:t>
      </w:r>
      <w:r>
        <w:rPr>
          <w:rFonts w:hint="eastAsia" w:ascii="Times New Roman" w:hAnsi="Times New Roman" w:eastAsia="仿宋_GB2312" w:cs="Times New Roman"/>
          <w:b w:val="0"/>
          <w:sz w:val="32"/>
          <w:szCs w:val="32"/>
          <w:lang w:val="en-US" w:eastAsia="zh-CN"/>
        </w:rPr>
        <w:t>辽宁省省级民政服务管理平台、</w:t>
      </w:r>
      <w:r>
        <w:rPr>
          <w:rFonts w:hint="default" w:ascii="Times New Roman" w:hAnsi="Times New Roman" w:eastAsia="仿宋_GB2312" w:cs="Times New Roman"/>
          <w:b w:val="0"/>
          <w:sz w:val="32"/>
          <w:szCs w:val="32"/>
          <w:lang w:val="en-US" w:eastAsia="zh-CN"/>
        </w:rPr>
        <w:t>辽宁省婚姻登记</w:t>
      </w:r>
      <w:r>
        <w:rPr>
          <w:rFonts w:hint="eastAsia" w:ascii="Times New Roman" w:hAnsi="Times New Roman" w:eastAsia="仿宋_GB2312" w:cs="Times New Roman"/>
          <w:b w:val="0"/>
          <w:sz w:val="32"/>
          <w:szCs w:val="32"/>
          <w:lang w:val="en-US" w:eastAsia="zh-CN"/>
        </w:rPr>
        <w:t>信息</w:t>
      </w:r>
      <w:r>
        <w:rPr>
          <w:rFonts w:hint="default" w:ascii="Times New Roman" w:hAnsi="Times New Roman" w:eastAsia="仿宋_GB2312" w:cs="Times New Roman"/>
          <w:b w:val="0"/>
          <w:sz w:val="32"/>
          <w:szCs w:val="32"/>
          <w:lang w:val="en-US" w:eastAsia="zh-CN"/>
        </w:rPr>
        <w:t>系统、辽宁省社会组织管理服务平台进行商用密码应用安全性评估，完成密码设备资产梳理、网络信道梳理、管理制度收集整理、密码应用方案密码使用情况梳理等工作；根据实际，在系统真实环境下进行测评，评估密码保障是否安全有效，密码使用是否合规、正确，及时发现系统存在的安全隐患和风险，提出可行性完善和整改建议，出具商用密码应用安全性评估报告。</w:t>
      </w:r>
    </w:p>
    <w:p w14:paraId="39BF0AA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测评内容主要包括：</w:t>
      </w:r>
    </w:p>
    <w:p w14:paraId="1C8BFAB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（1）商用密码应用安全性评估通用测评要求：</w:t>
      </w:r>
    </w:p>
    <w:p w14:paraId="2BEBB80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①密码算法合规性测评：信息系统中使用的密码算法应符合法律、法规的规定和密码相关国家标准、行业标准的有关要求。</w:t>
      </w:r>
    </w:p>
    <w:p w14:paraId="737B4A9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②密码技术合规性测评：信息系统中使用的密码技术应符合密码相关国家标准和行业标准的要求。</w:t>
      </w:r>
    </w:p>
    <w:p w14:paraId="51A7C23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③密码产品合规性测评：信息系统中使用的密码产品应符合法律法规和密码相关国家标准和行业标准的要求。</w:t>
      </w:r>
    </w:p>
    <w:p w14:paraId="69DAB2F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④密码服务合规性测评：信息系统中使用的密码服务应符合法律法规和密码相关国家标准和行业标准的要求。</w:t>
      </w:r>
    </w:p>
    <w:p w14:paraId="048BE7E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（2）商用密码应用安全性评估技术应用测评：</w:t>
      </w:r>
    </w:p>
    <w:p w14:paraId="2ACA8A2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从物理和环境安全、网络和通信安全、设备和计算安全、应用和数据安全等4个层面对信息系统中应用的密码技术进行分析与评估。</w:t>
      </w:r>
    </w:p>
    <w:p w14:paraId="3FCD51B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物理和环境安全层面测评</w:t>
      </w:r>
      <w:r>
        <w:rPr>
          <w:rFonts w:hint="eastAsia" w:ascii="Times New Roman" w:hAnsi="Times New Roman" w:eastAsia="仿宋_GB2312" w:cs="Times New Roman"/>
          <w:b w:val="0"/>
          <w:sz w:val="32"/>
          <w:szCs w:val="32"/>
          <w:lang w:val="en-US" w:eastAsia="zh-CN"/>
        </w:rPr>
        <w:t>：</w:t>
      </w:r>
      <w:r>
        <w:rPr>
          <w:rFonts w:hint="default" w:ascii="Times New Roman" w:hAnsi="Times New Roman" w:eastAsia="仿宋_GB2312" w:cs="Times New Roman"/>
          <w:b w:val="0"/>
          <w:sz w:val="32"/>
          <w:szCs w:val="32"/>
          <w:lang w:val="en-US" w:eastAsia="zh-CN"/>
        </w:rPr>
        <w:t>分析评估信息系统是否合理、合规的利用商用密码完整性、真实性功能，对影响信息系统安全防护效能的物理和环境层面因素进行保护。包括但不限于下列典型因素：重要区域的物理访问身份鉴别，视频监控记录等敏感信息数据完整性等。</w:t>
      </w:r>
    </w:p>
    <w:p w14:paraId="385D518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网络和通信安全层面测评</w:t>
      </w:r>
      <w:r>
        <w:rPr>
          <w:rFonts w:hint="eastAsia" w:ascii="Times New Roman" w:hAnsi="Times New Roman" w:eastAsia="仿宋_GB2312" w:cs="Times New Roman"/>
          <w:b w:val="0"/>
          <w:sz w:val="32"/>
          <w:szCs w:val="32"/>
          <w:lang w:val="en-US" w:eastAsia="zh-CN"/>
        </w:rPr>
        <w:t>：</w:t>
      </w:r>
      <w:r>
        <w:rPr>
          <w:rFonts w:hint="default" w:ascii="Times New Roman" w:hAnsi="Times New Roman" w:eastAsia="仿宋_GB2312" w:cs="Times New Roman"/>
          <w:b w:val="0"/>
          <w:sz w:val="32"/>
          <w:szCs w:val="32"/>
          <w:lang w:val="en-US" w:eastAsia="zh-CN"/>
        </w:rPr>
        <w:t>分析评估信息系统是否合理、合规的利用商用密码机密性、完整性、真实性功能，对影响信息系统安全防护效能的网络和通信层面因素进行保护。包括但不限于下列典型因素：安全认证连接到内部网络的设备，通信双方的身份认证过程，通信数据完整性，敏感信息数据字段机密性，网络边界访问控制信息完整性等。</w:t>
      </w:r>
    </w:p>
    <w:p w14:paraId="205311D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设备和计算安全层面测评</w:t>
      </w:r>
      <w:r>
        <w:rPr>
          <w:rFonts w:hint="eastAsia" w:ascii="Times New Roman" w:hAnsi="Times New Roman" w:eastAsia="仿宋_GB2312" w:cs="Times New Roman"/>
          <w:b w:val="0"/>
          <w:sz w:val="32"/>
          <w:szCs w:val="32"/>
          <w:lang w:val="en-US" w:eastAsia="zh-CN"/>
        </w:rPr>
        <w:t>：</w:t>
      </w:r>
      <w:r>
        <w:rPr>
          <w:rFonts w:hint="default" w:ascii="Times New Roman" w:hAnsi="Times New Roman" w:eastAsia="仿宋_GB2312" w:cs="Times New Roman"/>
          <w:b w:val="0"/>
          <w:sz w:val="32"/>
          <w:szCs w:val="32"/>
          <w:lang w:val="en-US" w:eastAsia="zh-CN"/>
        </w:rPr>
        <w:t>分析评估信息系统是否合理、合规的利用商用密码机密性、完整性、真实性功能，对影响信息系统安全防护效能的设备和计算层面因素进行保护。包括但不限于下列典型因素：登录信息系统设备和计算环境的用户身份鉴别过程，远程管理通道安全，系统资源访问控制信息完整性，重要信息资源安全标记完整性，信息系统设备和计算环境的日志记录完整性，重要可执行程序完整性、重要可执行程序来源真实性等。</w:t>
      </w:r>
    </w:p>
    <w:p w14:paraId="3496D6C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应用和数据层面测评</w:t>
      </w:r>
      <w:r>
        <w:rPr>
          <w:rFonts w:hint="eastAsia" w:ascii="Times New Roman" w:hAnsi="Times New Roman" w:eastAsia="仿宋_GB2312" w:cs="Times New Roman"/>
          <w:b w:val="0"/>
          <w:sz w:val="32"/>
          <w:szCs w:val="32"/>
          <w:lang w:val="en-US" w:eastAsia="zh-CN"/>
        </w:rPr>
        <w:t>：</w:t>
      </w:r>
      <w:r>
        <w:rPr>
          <w:rFonts w:hint="default" w:ascii="Times New Roman" w:hAnsi="Times New Roman" w:eastAsia="仿宋_GB2312" w:cs="Times New Roman"/>
          <w:b w:val="0"/>
          <w:sz w:val="32"/>
          <w:szCs w:val="32"/>
          <w:lang w:val="en-US" w:eastAsia="zh-CN"/>
        </w:rPr>
        <w:t>分析评估信息系统是否合理、合规的利用商用密码机密性、完整性、真实性以及不可否认性功能，对影响信息系统安全防护效能的应用和数据层面因素进行保护。包括但不限于下列典型因素：登录信息系统应用和数据操作环境的用户身份鉴别过程，访问控制信息完整性，重要信息资源安全标记完整性，重要数据传输过程的机密性、完整性，重要信息存储过程的机密性、完整性，信息系统应用相关实体行为不可否认性等。</w:t>
      </w:r>
    </w:p>
    <w:p w14:paraId="6441366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（3）安全管理测评：</w:t>
      </w:r>
    </w:p>
    <w:p w14:paraId="5FCB2BA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对影响商用密码防护效能的管理制度与措施进行分析与评估。管理制度与措施包括但不限于下列典型维度：管理制度，人员管理，建设运行，应急处置。</w:t>
      </w:r>
    </w:p>
    <w:p w14:paraId="19EC290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①管理制度维度，包括但不限于下列内容：具备密码应用安全管理制度，密钥管理规则，建立操作规程，定期修订安全管理制度，明确管理制度发布流程，制度执行过程记录留存等。</w:t>
      </w:r>
    </w:p>
    <w:p w14:paraId="29C7E56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②人员管理维度，包括但不限于下列内容：了解并遵守密码相关法律法规和密码管理制度，建立密码应用岗位责任制度，建立上岗人员培训制度，定期进行安全岗位人员考核，建立关键岗位人员保密制度和调离制度等。</w:t>
      </w:r>
    </w:p>
    <w:p w14:paraId="332BB0B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③建设运行维度，包括但不限于下列内容：制定密码应用方案，制定密钥安全管理策略，制定实施方案，投入运行前进行密码应用安全性评估，定期开展密码应用安全性评估及攻防对抗演习等。</w:t>
      </w:r>
    </w:p>
    <w:p w14:paraId="3B5E10C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④应急处置维度，包括但不限于下列内容：应急策略，事件处置，向有关主管部门上报处置情况等。</w:t>
      </w:r>
    </w:p>
    <w:p w14:paraId="1FAB6CA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b w:val="0"/>
          <w:sz w:val="32"/>
          <w:szCs w:val="32"/>
          <w:lang w:val="en-US" w:eastAsia="zh-CN"/>
        </w:rPr>
      </w:pPr>
      <w:r>
        <w:rPr>
          <w:rFonts w:hint="default" w:ascii="Times New Roman" w:hAnsi="Times New Roman" w:eastAsia="仿宋_GB2312" w:cs="Times New Roman"/>
          <w:b w:val="0"/>
          <w:sz w:val="32"/>
          <w:szCs w:val="32"/>
          <w:lang w:val="en-US" w:eastAsia="zh-CN"/>
        </w:rPr>
        <w:t>（4）测评工具配备：要求</w:t>
      </w:r>
      <w:bookmarkStart w:id="0" w:name="_Hlk135559192"/>
      <w:r>
        <w:rPr>
          <w:rFonts w:hint="default" w:ascii="Times New Roman" w:hAnsi="Times New Roman" w:eastAsia="仿宋_GB2312" w:cs="Times New Roman"/>
          <w:b w:val="0"/>
          <w:sz w:val="32"/>
          <w:szCs w:val="32"/>
          <w:lang w:val="en-US" w:eastAsia="zh-CN"/>
        </w:rPr>
        <w:t>在密评工作过程中配备专用密评工具</w:t>
      </w:r>
      <w:bookmarkEnd w:id="0"/>
      <w:r>
        <w:rPr>
          <w:rFonts w:hint="default" w:ascii="Times New Roman" w:hAnsi="Times New Roman" w:eastAsia="仿宋_GB2312" w:cs="Times New Roman"/>
          <w:b w:val="0"/>
          <w:sz w:val="32"/>
          <w:szCs w:val="32"/>
          <w:lang w:val="en-US" w:eastAsia="zh-CN"/>
        </w:rPr>
        <w:t>，可实现数字证书合规性等进行评估。</w:t>
      </w:r>
    </w:p>
    <w:p w14:paraId="25EB24F0">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黑体" w:cs="Times New Roman"/>
          <w:sz w:val="32"/>
          <w:szCs w:val="32"/>
          <w:u w:val="none"/>
          <w:lang w:eastAsia="zh-CN"/>
        </w:rPr>
      </w:pPr>
      <w:r>
        <w:rPr>
          <w:rFonts w:hint="default" w:ascii="Times New Roman" w:hAnsi="Times New Roman" w:eastAsia="黑体" w:cs="Times New Roman"/>
          <w:sz w:val="32"/>
          <w:szCs w:val="32"/>
          <w:u w:val="none"/>
          <w:lang w:eastAsia="zh-CN"/>
        </w:rPr>
        <w:t>七、服务要求：</w:t>
      </w:r>
    </w:p>
    <w:p w14:paraId="5F2401C3">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sz w:val="32"/>
          <w:szCs w:val="32"/>
          <w:u w:val="none"/>
          <w:lang w:val="en-US" w:eastAsia="zh-CN"/>
        </w:rPr>
      </w:pPr>
      <w:r>
        <w:rPr>
          <w:rFonts w:hint="default" w:ascii="Times New Roman" w:hAnsi="Times New Roman" w:eastAsia="仿宋_GB2312" w:cs="Times New Roman"/>
          <w:sz w:val="32"/>
          <w:szCs w:val="32"/>
          <w:u w:val="none"/>
          <w:lang w:val="en-US" w:eastAsia="zh-CN"/>
        </w:rPr>
        <w:t>1.执行有关项目建设的法律、法规、规范、标准和制度，履行相关的义务和职责。</w:t>
      </w:r>
    </w:p>
    <w:p w14:paraId="32F3A0C0">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sz w:val="32"/>
          <w:szCs w:val="32"/>
          <w:u w:val="none"/>
          <w:lang w:val="en-US" w:eastAsia="zh-CN"/>
        </w:rPr>
      </w:pPr>
      <w:r>
        <w:rPr>
          <w:rFonts w:hint="default" w:ascii="Times New Roman" w:hAnsi="Times New Roman" w:eastAsia="仿宋_GB2312" w:cs="Times New Roman"/>
          <w:sz w:val="32"/>
          <w:szCs w:val="32"/>
          <w:u w:val="none"/>
          <w:lang w:val="en-US" w:eastAsia="zh-CN"/>
        </w:rPr>
        <w:t>2.所有人员签订保密协议，不泄漏所服务项目各方认为需要保密的事项。</w:t>
      </w:r>
    </w:p>
    <w:p w14:paraId="6A223746">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sz w:val="32"/>
          <w:szCs w:val="32"/>
          <w:u w:val="none"/>
          <w:lang w:eastAsia="zh-CN"/>
        </w:rPr>
      </w:pPr>
      <w:r>
        <w:rPr>
          <w:rFonts w:hint="default" w:ascii="Times New Roman" w:hAnsi="Times New Roman" w:eastAsia="仿宋_GB2312" w:cs="Times New Roman"/>
          <w:sz w:val="32"/>
          <w:szCs w:val="32"/>
          <w:u w:val="none"/>
          <w:lang w:val="en-US" w:eastAsia="zh-CN"/>
        </w:rPr>
        <w:t>3.遵守国家的法律和政府的有关条例、规定和办法等。</w:t>
      </w:r>
    </w:p>
    <w:p w14:paraId="1042743B">
      <w:pPr>
        <w:keepNext w:val="0"/>
        <w:keepLines w:val="0"/>
        <w:pageBreakBefore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黑体" w:cs="Times New Roman"/>
          <w:sz w:val="32"/>
          <w:szCs w:val="32"/>
          <w:lang w:val="en-US" w:eastAsia="zh-CN"/>
        </w:rPr>
        <w:t xml:space="preserve">    八</w:t>
      </w:r>
      <w:r>
        <w:rPr>
          <w:rFonts w:hint="default" w:ascii="Times New Roman" w:hAnsi="Times New Roman" w:eastAsia="黑体" w:cs="Times New Roman"/>
          <w:sz w:val="32"/>
          <w:szCs w:val="32"/>
          <w:lang w:eastAsia="zh-CN"/>
        </w:rPr>
        <w:t>、付款方式及条件：</w:t>
      </w:r>
      <w:r>
        <w:rPr>
          <w:rFonts w:hint="eastAsia" w:ascii="仿宋_GB2312" w:hAnsi="仿宋_GB2312" w:eastAsia="仿宋_GB2312" w:cs="仿宋_GB2312"/>
          <w:sz w:val="32"/>
          <w:szCs w:val="32"/>
          <w:lang w:eastAsia="zh-CN"/>
        </w:rPr>
        <w:t>服务商</w:t>
      </w:r>
      <w:r>
        <w:rPr>
          <w:rFonts w:hint="default" w:ascii="Times New Roman" w:hAnsi="Times New Roman" w:eastAsia="仿宋_GB2312" w:cs="Times New Roman"/>
          <w:sz w:val="32"/>
          <w:szCs w:val="32"/>
          <w:lang w:val="en-US" w:eastAsia="zh-CN"/>
        </w:rPr>
        <w:t>出具《评估报告》</w:t>
      </w:r>
      <w:r>
        <w:rPr>
          <w:rFonts w:hint="eastAsia" w:ascii="Times New Roman" w:hAnsi="Times New Roman" w:eastAsia="仿宋_GB2312" w:cs="Times New Roman"/>
          <w:sz w:val="32"/>
          <w:szCs w:val="32"/>
          <w:lang w:val="en-US" w:eastAsia="zh-CN"/>
        </w:rPr>
        <w:t>并</w:t>
      </w:r>
      <w:r>
        <w:rPr>
          <w:rFonts w:hint="default" w:ascii="Times New Roman" w:hAnsi="Times New Roman" w:eastAsia="仿宋_GB2312" w:cs="Times New Roman"/>
          <w:sz w:val="32"/>
          <w:szCs w:val="32"/>
          <w:lang w:val="en-US" w:eastAsia="zh-CN"/>
        </w:rPr>
        <w:t>提供等额的增值税发票后</w:t>
      </w:r>
      <w:r>
        <w:rPr>
          <w:rFonts w:hint="eastAsia" w:ascii="Times New Roman" w:hAnsi="Times New Roman" w:eastAsia="仿宋_GB2312" w:cs="Times New Roman"/>
          <w:sz w:val="32"/>
          <w:szCs w:val="32"/>
          <w:lang w:val="en-US" w:eastAsia="zh-CN"/>
        </w:rPr>
        <w:t>20日内</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我厅</w:t>
      </w:r>
      <w:r>
        <w:rPr>
          <w:rFonts w:hint="default" w:ascii="Times New Roman" w:hAnsi="Times New Roman" w:eastAsia="仿宋_GB2312" w:cs="Times New Roman"/>
          <w:sz w:val="32"/>
          <w:szCs w:val="32"/>
          <w:lang w:val="en-US" w:eastAsia="zh-CN"/>
        </w:rPr>
        <w:t>一次性支付全部服务费。</w:t>
      </w:r>
    </w:p>
    <w:p w14:paraId="2CEC82E4">
      <w:pPr>
        <w:rPr>
          <w:rFonts w:hint="default"/>
          <w:lang w:eastAsia="zh-CN"/>
        </w:rPr>
      </w:pPr>
    </w:p>
    <w:sectPr>
      <w:footerReference r:id="rId3" w:type="default"/>
      <w:pgSz w:w="11906" w:h="16838"/>
      <w:pgMar w:top="1440" w:right="1803" w:bottom="1440" w:left="1803" w:header="851" w:footer="992" w:gutter="0"/>
      <w:pgNumType w:fmt="decimal" w:start="1"/>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1"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方正小标宋简体">
    <w:altName w:val="黑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5707B">
    <w:pPr>
      <w:pStyle w:val="14"/>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49155AD">
                          <w:pPr>
                            <w:pStyle w:val="14"/>
                            <w:jc w:val="center"/>
                          </w:pPr>
                          <w:r>
                            <w:fldChar w:fldCharType="begin"/>
                          </w:r>
                          <w:r>
                            <w:instrText xml:space="preserve">PAGE   \* MERGEFORMAT</w:instrText>
                          </w:r>
                          <w:r>
                            <w:fldChar w:fldCharType="separate"/>
                          </w:r>
                          <w:r>
                            <w:rPr>
                              <w:lang w:val="zh-CN"/>
                            </w:rPr>
                            <w:t>64</w:t>
                          </w:r>
                          <w:r>
                            <w:fldChar w:fldCharType="end"/>
                          </w:r>
                        </w:p>
                      </w:txbxContent>
                    </wps:txbx>
                    <wps:bodyPr vert="horz" wrap="none" lIns="0" tIns="0" rIns="0" bIns="0" anchor="t" anchorCtr="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CcUoWg3gEAAL4DAAAOAAAAAAAA&#10;AAEAIAAAAB4BAABkcnMvZTJvRG9jLnhtbFBLBQYAAAAABgAGAFkBAABuBQAAAAA=&#10;">
              <v:fill on="f" focussize="0,0"/>
              <v:stroke on="f"/>
              <v:imagedata o:title=""/>
              <o:lock v:ext="edit" aspectratio="f"/>
              <v:textbox inset="0mm,0mm,0mm,0mm" style="mso-fit-shape-to-text:t;">
                <w:txbxContent>
                  <w:p w14:paraId="049155AD">
                    <w:pPr>
                      <w:pStyle w:val="14"/>
                      <w:jc w:val="center"/>
                    </w:pPr>
                    <w:r>
                      <w:fldChar w:fldCharType="begin"/>
                    </w:r>
                    <w:r>
                      <w:instrText xml:space="preserve">PAGE   \* MERGEFORMAT</w:instrText>
                    </w:r>
                    <w:r>
                      <w:fldChar w:fldCharType="separate"/>
                    </w:r>
                    <w:r>
                      <w:rPr>
                        <w:lang w:val="zh-CN"/>
                      </w:rPr>
                      <w:t>64</w:t>
                    </w:r>
                    <w:r>
                      <w:fldChar w:fldCharType="end"/>
                    </w:r>
                  </w:p>
                </w:txbxContent>
              </v:textbox>
            </v:shape>
          </w:pict>
        </mc:Fallback>
      </mc:AlternateContent>
    </w:r>
  </w:p>
  <w:p w14:paraId="0CA36E01">
    <w:pPr>
      <w:pStyle w:val="1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419ADB6"/>
    <w:multiLevelType w:val="multilevel"/>
    <w:tmpl w:val="3419ADB6"/>
    <w:lvl w:ilvl="0" w:tentative="0">
      <w:start w:val="1"/>
      <w:numFmt w:val="decimal"/>
      <w:pStyle w:val="26"/>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9"/>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C8A1BBE"/>
    <w:rsid w:val="17FD406B"/>
    <w:rsid w:val="1BF6D147"/>
    <w:rsid w:val="31F6EDB8"/>
    <w:rsid w:val="32CB1C1E"/>
    <w:rsid w:val="36111AA0"/>
    <w:rsid w:val="377E0A92"/>
    <w:rsid w:val="37FB8EF0"/>
    <w:rsid w:val="3BFD656E"/>
    <w:rsid w:val="3E7CF466"/>
    <w:rsid w:val="4DFD5552"/>
    <w:rsid w:val="5EFF8D45"/>
    <w:rsid w:val="69DDE0AE"/>
    <w:rsid w:val="6BFF1F7E"/>
    <w:rsid w:val="76DF7151"/>
    <w:rsid w:val="77EF1CF6"/>
    <w:rsid w:val="783C60A5"/>
    <w:rsid w:val="7B7B864B"/>
    <w:rsid w:val="7FCFAA33"/>
    <w:rsid w:val="92B32363"/>
    <w:rsid w:val="9C6750EB"/>
    <w:rsid w:val="B33754D7"/>
    <w:rsid w:val="BBDFBA36"/>
    <w:rsid w:val="BDFD1FDE"/>
    <w:rsid w:val="CEDE0F0C"/>
    <w:rsid w:val="DDBB7D81"/>
    <w:rsid w:val="DDEF7A50"/>
    <w:rsid w:val="DDFBF80C"/>
    <w:rsid w:val="E7DD9BC9"/>
    <w:rsid w:val="F4FB7E76"/>
    <w:rsid w:val="F7771F4A"/>
    <w:rsid w:val="FABFD362"/>
    <w:rsid w:val="FD97D423"/>
    <w:rsid w:val="FF3DA853"/>
    <w:rsid w:val="FF6FE15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仿宋_GB2312"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qFormat="1" w:uiPriority="0" w:name="heading 3"/>
    <w:lsdException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0" w:semiHidden="0" w:name=""/>
    <w:lsdException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uiPriority w:val="0"/>
    <w:pPr>
      <w:keepNext/>
      <w:keepLines/>
      <w:widowControl w:val="0"/>
      <w:spacing w:before="340" w:after="330" w:line="576" w:lineRule="auto"/>
      <w:outlineLvl w:val="0"/>
    </w:pPr>
    <w:rPr>
      <w:b/>
      <w:kern w:val="44"/>
      <w:sz w:val="44"/>
    </w:rPr>
  </w:style>
  <w:style w:type="paragraph" w:styleId="4">
    <w:name w:val="heading 2"/>
    <w:basedOn w:val="1"/>
    <w:next w:val="1"/>
    <w:uiPriority w:val="0"/>
    <w:pPr>
      <w:keepNext/>
      <w:keepLines/>
      <w:widowControl w:val="0"/>
      <w:spacing w:before="260" w:after="260" w:line="412" w:lineRule="auto"/>
      <w:outlineLvl w:val="1"/>
    </w:pPr>
    <w:rPr>
      <w:rFonts w:ascii="Arial" w:hAnsi="Arial" w:eastAsia="黑体"/>
      <w:b/>
      <w:sz w:val="32"/>
    </w:rPr>
  </w:style>
  <w:style w:type="paragraph" w:styleId="5">
    <w:name w:val="heading 4"/>
    <w:basedOn w:val="1"/>
    <w:next w:val="1"/>
    <w:uiPriority w:val="0"/>
    <w:pPr>
      <w:keepNext/>
      <w:keepLines/>
      <w:widowControl w:val="0"/>
      <w:outlineLvl w:val="3"/>
    </w:pPr>
    <w:rPr>
      <w:rFonts w:ascii="Arial" w:hAnsi="Arial" w:eastAsia="黑体"/>
      <w:bCs/>
      <w:kern w:val="0"/>
      <w:sz w:val="24"/>
      <w:szCs w:val="28"/>
    </w:rPr>
  </w:style>
  <w:style w:type="character" w:default="1" w:styleId="22">
    <w:name w:val="Default Paragraph Font"/>
    <w:uiPriority w:val="0"/>
  </w:style>
  <w:style w:type="table" w:default="1" w:styleId="21">
    <w:name w:val="Normal Table"/>
    <w:semiHidden/>
    <w:uiPriority w:val="0"/>
    <w:tblPr>
      <w:tblStyle w:val="21"/>
      <w:tblCellMar>
        <w:top w:w="0" w:type="dxa"/>
        <w:left w:w="108" w:type="dxa"/>
        <w:bottom w:w="0" w:type="dxa"/>
        <w:right w:w="108" w:type="dxa"/>
      </w:tblCellMar>
    </w:tblPr>
  </w:style>
  <w:style w:type="paragraph" w:customStyle="1" w:styleId="2">
    <w:name w:val="_Style 3"/>
    <w:uiPriority w:val="0"/>
    <w:pPr>
      <w:widowControl w:val="0"/>
      <w:jc w:val="both"/>
    </w:pPr>
    <w:rPr>
      <w:rFonts w:ascii="Times New Roman" w:hAnsi="Times New Roman" w:eastAsia="宋体" w:cs="Times New Roman"/>
      <w:kern w:val="2"/>
      <w:sz w:val="21"/>
      <w:szCs w:val="22"/>
      <w:lang w:val="en-US" w:eastAsia="zh-CN" w:bidi="ar-SA"/>
    </w:rPr>
  </w:style>
  <w:style w:type="paragraph" w:styleId="6">
    <w:name w:val="annotation text"/>
    <w:basedOn w:val="1"/>
    <w:uiPriority w:val="0"/>
    <w:pPr>
      <w:jc w:val="left"/>
    </w:pPr>
  </w:style>
  <w:style w:type="paragraph" w:styleId="7">
    <w:name w:val="Body Text"/>
    <w:basedOn w:val="1"/>
    <w:uiPriority w:val="0"/>
    <w:pPr>
      <w:spacing w:after="120"/>
    </w:pPr>
    <w:rPr>
      <w:rFonts w:ascii="Times New Roman" w:hAnsi="Times New Roman" w:eastAsia="宋体" w:cs="Times New Roman"/>
      <w:szCs w:val="24"/>
      <w:lang w:bidi="ar-SA"/>
    </w:rPr>
  </w:style>
  <w:style w:type="paragraph" w:styleId="8">
    <w:name w:val="Body Text Indent"/>
    <w:basedOn w:val="1"/>
    <w:next w:val="9"/>
    <w:uiPriority w:val="0"/>
    <w:pPr>
      <w:spacing w:line="360" w:lineRule="auto"/>
      <w:ind w:firstLine="200" w:firstLineChars="200"/>
    </w:pPr>
    <w:rPr>
      <w:rFonts w:ascii="宋体"/>
      <w:sz w:val="24"/>
      <w:szCs w:val="20"/>
    </w:rPr>
  </w:style>
  <w:style w:type="paragraph" w:styleId="9">
    <w:name w:val="Body Text First Indent 2"/>
    <w:basedOn w:val="8"/>
    <w:uiPriority w:val="0"/>
    <w:pPr>
      <w:adjustRightInd w:val="0"/>
      <w:spacing w:after="120" w:line="520" w:lineRule="exact"/>
      <w:ind w:firstLine="210" w:firstLineChars="0"/>
      <w:textAlignment w:val="baseline"/>
    </w:pPr>
    <w:rPr>
      <w:rFonts w:ascii="黑体" w:eastAsia="黑体" w:cs="黑体"/>
      <w:lang w:bidi="ar-SA"/>
    </w:rPr>
  </w:style>
  <w:style w:type="paragraph" w:styleId="10">
    <w:name w:val="toc 3"/>
    <w:basedOn w:val="1"/>
    <w:next w:val="1"/>
    <w:uiPriority w:val="0"/>
    <w:pPr>
      <w:widowControl/>
      <w:spacing w:after="100" w:line="276" w:lineRule="auto"/>
      <w:ind w:left="440"/>
      <w:jc w:val="left"/>
    </w:pPr>
    <w:rPr>
      <w:rFonts w:ascii="Calibri" w:hAnsi="Calibri" w:eastAsia="宋体" w:cs="Times New Roman"/>
      <w:kern w:val="0"/>
      <w:sz w:val="22"/>
      <w:szCs w:val="22"/>
      <w:lang w:bidi="ar-SA"/>
    </w:rPr>
  </w:style>
  <w:style w:type="paragraph" w:styleId="11">
    <w:name w:val="Plain Text"/>
    <w:basedOn w:val="1"/>
    <w:uiPriority w:val="0"/>
    <w:rPr>
      <w:rFonts w:ascii="宋体" w:cs="Courier New"/>
      <w:szCs w:val="21"/>
      <w:lang w:bidi="ar-SA"/>
    </w:rPr>
  </w:style>
  <w:style w:type="paragraph" w:styleId="12">
    <w:name w:val="Date"/>
    <w:basedOn w:val="1"/>
    <w:next w:val="1"/>
    <w:uiPriority w:val="0"/>
    <w:pPr>
      <w:ind w:left="2500" w:leftChars="2500"/>
    </w:pPr>
  </w:style>
  <w:style w:type="paragraph" w:styleId="13">
    <w:name w:val="Balloon Text"/>
    <w:basedOn w:val="1"/>
    <w:uiPriority w:val="0"/>
    <w:rPr>
      <w:sz w:val="18"/>
      <w:szCs w:val="18"/>
    </w:rPr>
  </w:style>
  <w:style w:type="paragraph" w:styleId="14">
    <w:name w:val="footer"/>
    <w:basedOn w:val="1"/>
    <w:uiPriority w:val="0"/>
    <w:pPr>
      <w:tabs>
        <w:tab w:val="center" w:pos="4153"/>
        <w:tab w:val="right" w:pos="8306"/>
      </w:tabs>
      <w:snapToGrid w:val="0"/>
      <w:jc w:val="left"/>
    </w:pPr>
    <w:rPr>
      <w:sz w:val="18"/>
    </w:rPr>
  </w:style>
  <w:style w:type="paragraph" w:styleId="15">
    <w:name w:val="header"/>
    <w:basedOn w:val="1"/>
    <w:uiPriority w:val="0"/>
    <w:pPr>
      <w:pBdr>
        <w:top w:val="none" w:color="auto" w:sz="0" w:space="0"/>
        <w:left w:val="none" w:color="auto" w:sz="0" w:space="0"/>
        <w:bottom w:val="none" w:color="auto" w:sz="0" w:space="0"/>
        <w:right w:val="none" w:color="auto" w:sz="0" w:space="0"/>
      </w:pBdr>
      <w:tabs>
        <w:tab w:val="center" w:pos="4153"/>
        <w:tab w:val="right" w:pos="8306"/>
      </w:tabs>
      <w:snapToGrid w:val="0"/>
    </w:pPr>
    <w:rPr>
      <w:sz w:val="18"/>
    </w:rPr>
  </w:style>
  <w:style w:type="paragraph" w:styleId="16">
    <w:name w:val="toc 1"/>
    <w:basedOn w:val="1"/>
    <w:next w:val="1"/>
    <w:uiPriority w:val="0"/>
  </w:style>
  <w:style w:type="paragraph" w:styleId="17">
    <w:name w:val="toc 2"/>
    <w:basedOn w:val="1"/>
    <w:next w:val="1"/>
    <w:uiPriority w:val="0"/>
    <w:pPr>
      <w:ind w:left="200" w:leftChars="200"/>
    </w:pPr>
  </w:style>
  <w:style w:type="paragraph" w:styleId="18">
    <w:name w:val="Normal (Web)"/>
    <w:basedOn w:val="1"/>
    <w:uiPriority w:val="0"/>
    <w:pPr>
      <w:widowControl/>
      <w:spacing w:before="100" w:beforeAutospacing="1" w:after="100" w:afterAutospacing="1"/>
      <w:jc w:val="left"/>
    </w:pPr>
    <w:rPr>
      <w:rFonts w:ascii="宋体" w:eastAsia="宋体" w:cs="宋体"/>
      <w:kern w:val="0"/>
      <w:sz w:val="24"/>
      <w:lang w:bidi="ar-SA"/>
    </w:rPr>
  </w:style>
  <w:style w:type="paragraph" w:styleId="19">
    <w:name w:val="annotation subject"/>
    <w:next w:val="7"/>
    <w:uiPriority w:val="0"/>
    <w:pPr>
      <w:widowControl w:val="0"/>
    </w:pPr>
    <w:rPr>
      <w:rFonts w:ascii="Calibri" w:hAnsi="Calibri" w:eastAsia="宋体" w:cs="Times New Roman"/>
      <w:b/>
      <w:bCs/>
      <w:kern w:val="2"/>
      <w:sz w:val="21"/>
      <w:szCs w:val="24"/>
      <w:lang w:val="en-US" w:eastAsia="zh-CN" w:bidi="ar-SA"/>
    </w:rPr>
  </w:style>
  <w:style w:type="paragraph" w:styleId="20">
    <w:name w:val="Body Text First Indent"/>
    <w:basedOn w:val="7"/>
    <w:uiPriority w:val="0"/>
    <w:pPr>
      <w:spacing w:line="360" w:lineRule="auto"/>
      <w:ind w:firstLine="100" w:firstLineChars="100"/>
    </w:pPr>
    <w:rPr>
      <w:rFonts w:ascii="微软雅黑" w:eastAsia="微软雅黑" w:cs="微软雅黑"/>
      <w:szCs w:val="21"/>
      <w:lang w:bidi="ar-SA"/>
    </w:rPr>
  </w:style>
  <w:style w:type="character" w:styleId="23">
    <w:name w:val="Strong"/>
    <w:uiPriority w:val="0"/>
    <w:rPr>
      <w:b/>
    </w:rPr>
  </w:style>
  <w:style w:type="character" w:styleId="24">
    <w:name w:val="Hyperlink"/>
    <w:uiPriority w:val="0"/>
    <w:rPr>
      <w:color w:val="0000FF"/>
      <w:u w:val="single"/>
    </w:rPr>
  </w:style>
  <w:style w:type="character" w:styleId="25">
    <w:name w:val="annotation reference"/>
    <w:uiPriority w:val="0"/>
    <w:rPr>
      <w:sz w:val="21"/>
      <w:szCs w:val="21"/>
    </w:rPr>
  </w:style>
  <w:style w:type="paragraph" w:customStyle="1" w:styleId="26">
    <w:name w:val="样式1"/>
    <w:basedOn w:val="1"/>
    <w:uiPriority w:val="0"/>
    <w:pPr>
      <w:numPr>
        <w:ilvl w:val="0"/>
        <w:numId w:val="1"/>
      </w:numPr>
      <w:adjustRightInd w:val="0"/>
      <w:textAlignment w:val="baseline"/>
    </w:pPr>
    <w:rPr>
      <w:rFonts w:ascii="宋体"/>
      <w:kern w:val="0"/>
      <w:szCs w:val="21"/>
    </w:rPr>
  </w:style>
  <w:style w:type="character" w:customStyle="1" w:styleId="27">
    <w:name w:val="font41"/>
    <w:uiPriority w:val="0"/>
    <w:rPr>
      <w:rFonts w:ascii="宋体" w:eastAsia="宋体" w:cs="宋体"/>
      <w:b/>
      <w:color w:val="000000"/>
      <w:sz w:val="20"/>
      <w:szCs w:val="20"/>
      <w:u w:val="none"/>
      <w:lang w:bidi="ar-SA"/>
    </w:rPr>
  </w:style>
  <w:style w:type="character" w:customStyle="1" w:styleId="28">
    <w:name w:val="font21"/>
    <w:uiPriority w:val="0"/>
    <w:rPr>
      <w:rFonts w:ascii="宋体" w:eastAsia="宋体" w:cs="宋体"/>
      <w:b/>
      <w:color w:val="000000"/>
      <w:sz w:val="20"/>
      <w:szCs w:val="20"/>
      <w:u w:val="none"/>
      <w:lang w:bidi="ar-SA"/>
    </w:rPr>
  </w:style>
  <w:style w:type="character" w:customStyle="1" w:styleId="29">
    <w:name w:val="font61"/>
    <w:uiPriority w:val="0"/>
    <w:rPr>
      <w:rFonts w:ascii="宋体" w:eastAsia="宋体" w:cs="宋体"/>
      <w:color w:val="000000"/>
      <w:sz w:val="20"/>
      <w:szCs w:val="20"/>
      <w:u w:val="none"/>
      <w:lang w:bidi="ar-SA"/>
    </w:rPr>
  </w:style>
  <w:style w:type="character" w:customStyle="1" w:styleId="30">
    <w:name w:val="font31"/>
    <w:uiPriority w:val="0"/>
    <w:rPr>
      <w:rFonts w:ascii="宋体" w:eastAsia="宋体" w:cs="宋体"/>
      <w:b/>
      <w:color w:val="FFFFFF"/>
      <w:sz w:val="20"/>
      <w:szCs w:val="20"/>
      <w:u w:val="none"/>
      <w:lang w:bidi="ar-SA"/>
    </w:rPr>
  </w:style>
  <w:style w:type="paragraph" w:styleId="31">
    <w:name w:val="List Paragraph"/>
    <w:basedOn w:val="1"/>
    <w:uiPriority w:val="0"/>
    <w:pPr>
      <w:ind w:firstLine="200" w:firstLineChars="200"/>
    </w:pPr>
  </w:style>
  <w:style w:type="paragraph" w:styleId="32">
    <w:name w:val=""/>
    <w:uiPriority w:val="0"/>
    <w:rPr>
      <w:rFonts w:ascii="Calibri" w:hAnsi="Calibri" w:eastAsia="宋体" w:cs="Times New Roman"/>
      <w:kern w:val="2"/>
      <w:sz w:val="21"/>
      <w:szCs w:val="24"/>
      <w:lang w:val="en-US" w:eastAsia="zh-CN" w:bidi="ar-SA"/>
    </w:rPr>
  </w:style>
  <w:style w:type="paragraph" w:customStyle="1" w:styleId="33">
    <w:name w:val="WPSOffice手动目录 1"/>
    <w:uiPriority w:val="0"/>
    <w:rPr>
      <w:rFonts w:ascii="Calibri" w:hAnsi="Calibri" w:eastAsia="宋体" w:cs="Times New Roman"/>
      <w:sz w:val="20"/>
      <w:lang w:val="en-US" w:eastAsia="zh-CN" w:bidi="ar-SA"/>
    </w:rPr>
  </w:style>
  <w:style w:type="paragraph" w:styleId="34">
    <w:name w:val=""/>
    <w:basedOn w:val="3"/>
    <w:next w:val="1"/>
    <w:uiPriority w:val="0"/>
    <w:pPr>
      <w:keepNext/>
      <w:keepLines/>
      <w:widowControl/>
      <w:spacing w:before="480" w:after="0" w:line="276" w:lineRule="auto"/>
      <w:jc w:val="left"/>
      <w:outlineLvl w:val="9"/>
    </w:pPr>
    <w:rPr>
      <w:rFonts w:ascii="Calibri Light" w:hAnsi="Calibri Light" w:eastAsia="宋体" w:cs="Times New Roman"/>
      <w:bCs/>
      <w:color w:val="2E74B5"/>
      <w:kern w:val="0"/>
      <w:sz w:val="28"/>
      <w:szCs w:val="28"/>
      <w:lang w:bidi="ar-SA"/>
    </w:rPr>
  </w:style>
  <w:style w:type="paragraph" w:customStyle="1" w:styleId="35">
    <w:name w:val="列出段落11"/>
    <w:basedOn w:val="1"/>
    <w:uiPriority w:val="0"/>
    <w:pPr>
      <w:ind w:firstLine="200" w:firstLineChars="200"/>
    </w:pPr>
    <w:rPr>
      <w:rFonts w:ascii="Calibri" w:hAnsi="Calibri" w:eastAsia="宋体" w:cs="Times New Roman"/>
      <w:szCs w:val="22"/>
      <w:lang w:val="zh-CN" w:eastAsia="zh-CN" w:bidi="ar-SA"/>
    </w:rPr>
  </w:style>
  <w:style w:type="paragraph" w:customStyle="1" w:styleId="36">
    <w:name w:val="样式"/>
    <w:uiPriority w:val="0"/>
    <w:pPr>
      <w:widowControl w:val="0"/>
      <w:autoSpaceDE w:val="0"/>
      <w:autoSpaceDN w:val="0"/>
      <w:adjustRightInd w:val="0"/>
    </w:pPr>
    <w:rPr>
      <w:rFonts w:ascii="宋体" w:eastAsia="宋体" w:cs="宋体"/>
      <w:sz w:val="24"/>
      <w:szCs w:val="24"/>
      <w:lang w:val="en-US" w:eastAsia="zh-CN" w:bidi="ar-SA"/>
    </w:rPr>
  </w:style>
  <w:style w:type="paragraph" w:customStyle="1" w:styleId="37">
    <w:name w:val="Normal_1_1"/>
    <w:qFormat/>
    <w:uiPriority w:val="0"/>
    <w:rPr>
      <w:rFonts w:ascii="Times New Roman" w:hAnsi="Times New Roman" w:eastAsia="Times New Roman" w:cs="Times New Roman"/>
      <w:sz w:val="24"/>
      <w:szCs w:val="24"/>
      <w:lang w:bidi="ar-SA"/>
    </w:rPr>
  </w:style>
  <w:style w:type="paragraph" w:customStyle="1" w:styleId="38">
    <w:name w:val="Normal_2"/>
    <w:qFormat/>
    <w:uiPriority w:val="0"/>
    <w:pPr>
      <w:widowControl w:val="0"/>
      <w:jc w:val="both"/>
    </w:pPr>
    <w:rPr>
      <w:rFonts w:ascii="Calibri" w:hAnsi="Calibri"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Pages>
  <Words>2117</Words>
  <Characters>2140</Characters>
  <TotalTime>0</TotalTime>
  <ScaleCrop>false</ScaleCrop>
  <LinksUpToDate>false</LinksUpToDate>
  <CharactersWithSpaces>2172</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2018-12-30T22:56:00Z</dcterms:created>
  <dc:creator>meimei</dc:creator>
  <cp:lastModifiedBy>运维九部</cp:lastModifiedBy>
  <cp:lastPrinted>2023-09-03T10:36:18Z</cp:lastPrinted>
  <dcterms:modified xsi:type="dcterms:W3CDTF">2024-10-08T01:12:34Z</dcterms:modified>
  <dc:title>辽宁省政府采购项目</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41987DC9F38A4D4EBE24594DE145087D_13</vt:lpwstr>
  </property>
</Properties>
</file>